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27" w:rsidRDefault="00495427" w:rsidP="00495427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ПРАВИТЕЛЬСТВО РОССИЙСКОЙ ФЕДЕРАЦИИ </w:t>
      </w:r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center"/>
        <w:outlineLvl w:val="2"/>
        <w:rPr>
          <w:b/>
          <w:bCs/>
          <w:sz w:val="36"/>
          <w:szCs w:val="36"/>
        </w:rPr>
      </w:pPr>
      <w:bookmarkStart w:id="0" w:name="h136"/>
      <w:bookmarkEnd w:id="0"/>
      <w:r>
        <w:rPr>
          <w:b/>
          <w:bCs/>
          <w:sz w:val="36"/>
          <w:szCs w:val="36"/>
        </w:rPr>
        <w:t>ПОСТАНОВЛЕНИЕ</w:t>
      </w:r>
      <w:r>
        <w:rPr>
          <w:b/>
          <w:bCs/>
          <w:sz w:val="36"/>
          <w:szCs w:val="36"/>
        </w:rPr>
        <w:br/>
        <w:t xml:space="preserve">от 1 декабря 1998 г. N 1419 </w:t>
      </w:r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ОБ УТВЕРЖДЕНИИ ПОРЯДКА СОВЕРШЕНИЯ ОПЕРАЦИЙ С МИНЕРАЛЬНЫМ СЫРЬЕМ, СОДЕРЖАЩИМ ДРАГОЦЕННЫЕ </w:t>
      </w:r>
      <w:bookmarkStart w:id="1" w:name="l1"/>
      <w:bookmarkEnd w:id="1"/>
      <w:r>
        <w:rPr>
          <w:b/>
          <w:bCs/>
          <w:sz w:val="36"/>
          <w:szCs w:val="36"/>
        </w:rPr>
        <w:t xml:space="preserve">МЕТАЛЛЫ, ДО АФФИНАЖА </w:t>
      </w:r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center"/>
      </w:pPr>
      <w:r>
        <w:t xml:space="preserve">(в ред. Постановления Правительства РФ </w:t>
      </w:r>
      <w:hyperlink r:id="rId4" w:history="1">
        <w:r>
          <w:rPr>
            <w:rStyle w:val="a4"/>
          </w:rPr>
          <w:t>от 08.05.2002 N 302</w:t>
        </w:r>
      </w:hyperlink>
      <w:r>
        <w:t xml:space="preserve">) </w:t>
      </w:r>
    </w:p>
    <w:p w:rsidR="00495427" w:rsidRDefault="00495427" w:rsidP="00495427">
      <w:pPr>
        <w:pStyle w:val="a3"/>
      </w:pPr>
      <w:r>
        <w:t> </w:t>
      </w:r>
      <w:r>
        <w:br/>
        <w:t xml:space="preserve">    В соответствии со </w:t>
      </w:r>
      <w:hyperlink r:id="rId5" w:anchor="l225" w:history="1">
        <w:r>
          <w:rPr>
            <w:rStyle w:val="a4"/>
          </w:rPr>
          <w:t>статьей 20</w:t>
        </w:r>
      </w:hyperlink>
      <w:r>
        <w:t xml:space="preserve"> Федерального закона "О драгоценных металлах и драгоценных камнях" (Собрание законодательства Российской Федерации, 1998, N 13, ст. 1463) </w:t>
      </w:r>
      <w:bookmarkStart w:id="2" w:name="l2"/>
      <w:bookmarkEnd w:id="2"/>
      <w:r>
        <w:t xml:space="preserve">Правительство Российской Федерации постановляет: </w:t>
      </w:r>
      <w:r>
        <w:br/>
        <w:t xml:space="preserve">    1. Утвердить прилагаемый Порядок совершения операций с минеральным сырьем, содержащим драгоценные металлы, до аффинажа. </w:t>
      </w:r>
      <w:r>
        <w:br/>
        <w:t xml:space="preserve">    2. Признать утратившим силу </w:t>
      </w:r>
      <w:hyperlink r:id="rId6" w:history="1">
        <w:r>
          <w:rPr>
            <w:rStyle w:val="a4"/>
          </w:rPr>
          <w:t>постановление</w:t>
        </w:r>
      </w:hyperlink>
      <w:r>
        <w:t xml:space="preserve"> Правительства </w:t>
      </w:r>
      <w:bookmarkStart w:id="3" w:name="l3"/>
      <w:bookmarkEnd w:id="3"/>
      <w:r>
        <w:t xml:space="preserve">Российской Федерации от 30 июня 1994 г. N 756 "Об утверждении Положения о совершении сделок с драгоценными металлами на территории Российской Федерации" (Собрание законодательства Российской Федерации, 1994, N 11, ст. 1291) в части, касающейся </w:t>
      </w:r>
      <w:bookmarkStart w:id="4" w:name="l4"/>
      <w:bookmarkEnd w:id="4"/>
      <w:r>
        <w:t xml:space="preserve">минерального сырья, содержащего драгоценные металлы. </w:t>
      </w:r>
      <w:r>
        <w:br/>
        <w:t> </w:t>
      </w:r>
    </w:p>
    <w:p w:rsidR="00495427" w:rsidRDefault="00495427" w:rsidP="00495427">
      <w:pPr>
        <w:pStyle w:val="a3"/>
        <w:jc w:val="right"/>
      </w:pPr>
      <w:r>
        <w:rPr>
          <w:i/>
          <w:iCs/>
        </w:rPr>
        <w:t xml:space="preserve">Председатель Правительства </w:t>
      </w:r>
      <w:r>
        <w:br/>
      </w:r>
      <w:r>
        <w:rPr>
          <w:i/>
          <w:iCs/>
        </w:rPr>
        <w:t xml:space="preserve">Российской Федерации </w:t>
      </w:r>
      <w:bookmarkStart w:id="5" w:name="l5"/>
      <w:bookmarkEnd w:id="5"/>
      <w:r>
        <w:br/>
      </w:r>
      <w:r>
        <w:rPr>
          <w:i/>
          <w:iCs/>
        </w:rPr>
        <w:t xml:space="preserve">Е.ПРИМАКОВ </w:t>
      </w:r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right"/>
      </w:pPr>
      <w:r>
        <w:rPr>
          <w:i/>
          <w:iCs/>
        </w:rPr>
        <w:t xml:space="preserve">Утвержден </w:t>
      </w:r>
      <w:r>
        <w:br/>
      </w:r>
      <w:r>
        <w:rPr>
          <w:i/>
          <w:iCs/>
        </w:rPr>
        <w:t xml:space="preserve">Постановлением Правительства </w:t>
      </w:r>
      <w:r>
        <w:br/>
      </w:r>
      <w:r>
        <w:rPr>
          <w:i/>
          <w:iCs/>
        </w:rPr>
        <w:t xml:space="preserve">Российской Федерации </w:t>
      </w:r>
      <w:bookmarkStart w:id="6" w:name="l6"/>
      <w:bookmarkEnd w:id="6"/>
      <w:r>
        <w:br/>
      </w:r>
      <w:r>
        <w:rPr>
          <w:i/>
          <w:iCs/>
        </w:rPr>
        <w:t xml:space="preserve">от 1 декабря 1998 г. N 1419 </w:t>
      </w:r>
    </w:p>
    <w:p w:rsidR="00495427" w:rsidRDefault="00495427" w:rsidP="00495427">
      <w:pPr>
        <w:pStyle w:val="a3"/>
      </w:pPr>
      <w:r>
        <w:t> </w:t>
      </w:r>
      <w:r>
        <w:br/>
        <w:t> </w:t>
      </w:r>
    </w:p>
    <w:p w:rsidR="00495427" w:rsidRDefault="00495427" w:rsidP="00495427">
      <w:pPr>
        <w:pStyle w:val="a3"/>
        <w:jc w:val="center"/>
        <w:outlineLvl w:val="2"/>
        <w:rPr>
          <w:b/>
          <w:bCs/>
          <w:sz w:val="36"/>
          <w:szCs w:val="36"/>
        </w:rPr>
      </w:pPr>
      <w:bookmarkStart w:id="7" w:name="h137"/>
      <w:bookmarkEnd w:id="7"/>
      <w:r>
        <w:rPr>
          <w:b/>
          <w:bCs/>
          <w:sz w:val="36"/>
          <w:szCs w:val="36"/>
        </w:rPr>
        <w:t>ПОРЯДОК</w:t>
      </w:r>
      <w:r>
        <w:rPr>
          <w:b/>
          <w:bCs/>
          <w:sz w:val="36"/>
          <w:szCs w:val="36"/>
        </w:rPr>
        <w:br/>
      </w:r>
      <w:bookmarkStart w:id="8" w:name="h35"/>
      <w:bookmarkEnd w:id="8"/>
      <w:r>
        <w:rPr>
          <w:b/>
          <w:bCs/>
          <w:sz w:val="36"/>
          <w:szCs w:val="36"/>
        </w:rPr>
        <w:t xml:space="preserve">СОВЕРШЕНИЯ ОПЕРАЦИЙ С МИНЕРАЛЬНЫМ </w:t>
      </w:r>
      <w:r>
        <w:rPr>
          <w:b/>
          <w:bCs/>
          <w:sz w:val="36"/>
          <w:szCs w:val="36"/>
        </w:rPr>
        <w:lastRenderedPageBreak/>
        <w:t xml:space="preserve">СЫРЬЕМ, СОДЕРЖАЩИМ ДРАГОЦЕННЫЕ МЕТАЛЛЫ, ДО АФФИНАЖА </w:t>
      </w:r>
      <w:bookmarkStart w:id="9" w:name="l7"/>
      <w:bookmarkEnd w:id="9"/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center"/>
      </w:pPr>
      <w:r>
        <w:t xml:space="preserve">(в ред. Постановления Правительства РФ </w:t>
      </w:r>
      <w:hyperlink r:id="rId7" w:history="1">
        <w:r>
          <w:rPr>
            <w:rStyle w:val="a4"/>
          </w:rPr>
          <w:t>от 08.05.2002 N 302</w:t>
        </w:r>
      </w:hyperlink>
      <w:r>
        <w:t xml:space="preserve">) </w:t>
      </w:r>
    </w:p>
    <w:p w:rsidR="00495427" w:rsidRDefault="00495427" w:rsidP="00495427">
      <w:pPr>
        <w:pStyle w:val="a3"/>
      </w:pPr>
      <w:r>
        <w:t> </w:t>
      </w:r>
    </w:p>
    <w:p w:rsidR="00495427" w:rsidRDefault="00495427" w:rsidP="00495427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I. Общие положения </w:t>
      </w:r>
      <w:bookmarkStart w:id="10" w:name="h39"/>
      <w:bookmarkEnd w:id="10"/>
    </w:p>
    <w:p w:rsidR="00495427" w:rsidRDefault="00495427" w:rsidP="00495427">
      <w:pPr>
        <w:pStyle w:val="a3"/>
      </w:pPr>
      <w:r>
        <w:t> </w:t>
      </w:r>
      <w:r>
        <w:br/>
        <w:t xml:space="preserve">    1. Настоящий Порядок, разработанный в соответствии со </w:t>
      </w:r>
      <w:hyperlink r:id="rId8" w:anchor="l225" w:history="1">
        <w:r>
          <w:rPr>
            <w:rStyle w:val="a4"/>
          </w:rPr>
          <w:t>статьей 20</w:t>
        </w:r>
      </w:hyperlink>
      <w:r>
        <w:t xml:space="preserve"> Федерального закона "О драгоценных металлах и драгоценных камнях", определяет отношения между собственниками минерального </w:t>
      </w:r>
      <w:bookmarkStart w:id="11" w:name="l8"/>
      <w:bookmarkEnd w:id="11"/>
      <w:r>
        <w:t xml:space="preserve">сырья, содержащего драгоценные металлы (далее именуется - минеральное сырье), и другими участниками рынка в случае: </w:t>
      </w:r>
      <w:r>
        <w:br/>
        <w:t xml:space="preserve">    изменения физического состояния или содержания драгоценных металлов в минеральном сырье при его добыче, обогащении и </w:t>
      </w:r>
      <w:bookmarkStart w:id="12" w:name="l9"/>
      <w:bookmarkEnd w:id="12"/>
      <w:r>
        <w:t xml:space="preserve">металлургическом переделе до аффинажа; </w:t>
      </w:r>
      <w:r>
        <w:br/>
        <w:t xml:space="preserve">    перехода права собственности и иных имущественных прав на минеральное сырье и продукты переработки минерального сырья; </w:t>
      </w:r>
      <w:r>
        <w:br/>
        <w:t xml:space="preserve">    использования минерального сырья в качестве залога; </w:t>
      </w:r>
      <w:bookmarkStart w:id="13" w:name="l10"/>
      <w:bookmarkEnd w:id="13"/>
      <w:r>
        <w:br/>
        <w:t xml:space="preserve">    перемещения и хранения минерального сырья и продуктов переработки минерального сырья, содержащих драгоценные металлы. </w:t>
      </w:r>
      <w:r>
        <w:br/>
        <w:t xml:space="preserve">    2. Понятия, используемые в настоящем Порядке, означают следующее: </w:t>
      </w:r>
      <w:r>
        <w:br/>
        <w:t xml:space="preserve">    "минеральное сырье" - добытые из недр руды коренных </w:t>
      </w:r>
      <w:bookmarkStart w:id="14" w:name="l11"/>
      <w:bookmarkEnd w:id="14"/>
      <w:r>
        <w:t xml:space="preserve">месторождений, пески россыпных месторождений, руды и пески техногенных месторождений, а также продукты их переработки; </w:t>
      </w:r>
      <w:r>
        <w:br/>
        <w:t xml:space="preserve">    "продукты переработки минерального сырья" - концентраты, </w:t>
      </w:r>
      <w:bookmarkStart w:id="15" w:name="l12"/>
      <w:bookmarkEnd w:id="15"/>
      <w:r>
        <w:t xml:space="preserve">шлиховые золото и платина, сплав Доре, катодный металл и цинковые осадки. </w:t>
      </w:r>
      <w:r>
        <w:br/>
        <w:t xml:space="preserve">    3. Настоящий Порядок не распространяется на ввоз на территорию Российской Федерации минерального сырья и на его вывоз с территории Российской Федерации, а также на операции с самородками </w:t>
      </w:r>
      <w:bookmarkStart w:id="16" w:name="l13"/>
      <w:bookmarkEnd w:id="16"/>
      <w:r>
        <w:t xml:space="preserve">драгоценных металлов, отнесенными к категории уникальных и не подлежащими аффинажу. </w:t>
      </w:r>
      <w:r>
        <w:br/>
        <w:t> </w:t>
      </w:r>
    </w:p>
    <w:p w:rsidR="00495427" w:rsidRDefault="00495427" w:rsidP="00495427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II. Операции, связанные с изменением физического состояния </w:t>
      </w:r>
      <w:bookmarkStart w:id="17" w:name="h68"/>
      <w:bookmarkEnd w:id="17"/>
      <w:r>
        <w:rPr>
          <w:b/>
          <w:bCs/>
          <w:sz w:val="27"/>
          <w:szCs w:val="27"/>
        </w:rPr>
        <w:t xml:space="preserve">или содержания драгоценных металлов в минеральном сырье </w:t>
      </w:r>
      <w:bookmarkStart w:id="18" w:name="l14"/>
      <w:bookmarkEnd w:id="18"/>
    </w:p>
    <w:p w:rsidR="00495427" w:rsidRDefault="00495427" w:rsidP="00495427">
      <w:pPr>
        <w:pStyle w:val="a3"/>
      </w:pPr>
      <w:r>
        <w:t> </w:t>
      </w:r>
      <w:r>
        <w:br/>
        <w:t xml:space="preserve">    4. Изменение физического состояния или содержания драгоценных металлов в минеральном сырье осуществляется в процессе переработки добытых из недр руд на обогатительных и золотоизвлекательных фабриках и в металлургическом производстве, при промывке песков на </w:t>
      </w:r>
      <w:bookmarkStart w:id="19" w:name="l15"/>
      <w:bookmarkEnd w:id="19"/>
      <w:r>
        <w:t xml:space="preserve">промывочных установках и приборах, доводке концентратов на шлихообогатительных фабриках и установках, на установках кучного и подземного выщелачивания, на других объектах по переработке </w:t>
      </w:r>
      <w:bookmarkStart w:id="20" w:name="l16"/>
      <w:bookmarkEnd w:id="20"/>
      <w:r>
        <w:t xml:space="preserve">минерального сырья. </w:t>
      </w:r>
      <w:r>
        <w:br/>
        <w:t xml:space="preserve">    5. Переработка минерального сырья должна осуществляться в полном соответствии с технологическим проектом и базироваться на результатах исследований минерального сырья. Технологические </w:t>
      </w:r>
      <w:bookmarkStart w:id="21" w:name="l17"/>
      <w:bookmarkEnd w:id="21"/>
      <w:r>
        <w:t xml:space="preserve">процессы должны обеспечивать при безопасных условиях труда максимальное экономически целесообразное извлечение всех промышленных компонентов, содержащихся в рудах и песках. </w:t>
      </w:r>
      <w:r>
        <w:br/>
      </w:r>
      <w:r>
        <w:lastRenderedPageBreak/>
        <w:t xml:space="preserve">    6. Для учета минерального сырья в организациях независимо от </w:t>
      </w:r>
      <w:bookmarkStart w:id="22" w:name="l18"/>
      <w:bookmarkEnd w:id="22"/>
      <w:r>
        <w:t xml:space="preserve">их организационно-правовой формы осуществляется контроль за технологическим процессом в строгом соответствии со схемой и с картой контроля, разработанными для организаций, с составлением металлургических балансов (квартальных, годовых). </w:t>
      </w:r>
      <w:bookmarkStart w:id="23" w:name="l19"/>
      <w:bookmarkEnd w:id="23"/>
      <w:r>
        <w:br/>
        <w:t xml:space="preserve">    7. На каждую партию минерального сырья оформляется сертификат (паспорт), в котором указываются: </w:t>
      </w:r>
      <w:r>
        <w:br/>
        <w:t xml:space="preserve">    наименование минерального сырья; </w:t>
      </w:r>
      <w:r>
        <w:br/>
        <w:t xml:space="preserve">    номер партии; </w:t>
      </w:r>
      <w:r>
        <w:br/>
        <w:t xml:space="preserve">    масса партии (в натуральном и сухом виде); </w:t>
      </w:r>
      <w:r>
        <w:br/>
        <w:t xml:space="preserve">    влажность; </w:t>
      </w:r>
      <w:bookmarkStart w:id="24" w:name="l20"/>
      <w:bookmarkEnd w:id="24"/>
      <w:r>
        <w:br/>
        <w:t xml:space="preserve">    содержание вредных и других контролируемых примесей; </w:t>
      </w:r>
      <w:r>
        <w:br/>
        <w:t xml:space="preserve">    содержание драгоценных металлов; </w:t>
      </w:r>
      <w:r>
        <w:br/>
        <w:t xml:space="preserve">    количество драгоценных металлов; </w:t>
      </w:r>
      <w:r>
        <w:br/>
        <w:t xml:space="preserve">    другие параметры, характеризующие качество минерального сырья. </w:t>
      </w:r>
      <w:r>
        <w:br/>
        <w:t> </w:t>
      </w:r>
    </w:p>
    <w:p w:rsidR="00495427" w:rsidRDefault="00495427" w:rsidP="00495427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III. Совершение операций, связанных с переходом </w:t>
      </w:r>
      <w:bookmarkStart w:id="25" w:name="h101"/>
      <w:bookmarkStart w:id="26" w:name="l21"/>
      <w:bookmarkEnd w:id="25"/>
      <w:bookmarkEnd w:id="26"/>
      <w:r>
        <w:rPr>
          <w:b/>
          <w:bCs/>
          <w:sz w:val="27"/>
          <w:szCs w:val="27"/>
        </w:rPr>
        <w:t xml:space="preserve">права собственности на минеральное сырье </w:t>
      </w:r>
    </w:p>
    <w:p w:rsidR="00495427" w:rsidRDefault="00495427" w:rsidP="00495427">
      <w:pPr>
        <w:pStyle w:val="a3"/>
      </w:pPr>
      <w:r>
        <w:t> </w:t>
      </w:r>
      <w:r>
        <w:br/>
        <w:t xml:space="preserve">    8. Минеральное сырье, не обремененное обязательствами в соответствии с ранее заключенными договорами на поставку аффинированных металлов, может быть реализовано до аффинажа </w:t>
      </w:r>
      <w:bookmarkStart w:id="27" w:name="l22"/>
      <w:bookmarkEnd w:id="27"/>
      <w:r>
        <w:t xml:space="preserve">субъектами их добычи и производства юридическим лицам, в том числе через биржи </w:t>
      </w:r>
      <w:bookmarkStart w:id="28" w:name="l23"/>
      <w:bookmarkEnd w:id="28"/>
      <w:r>
        <w:t xml:space="preserve">драгоценных металлов и драгоценных камней, или использовано в качестве залога или иного финансового обязательства. </w:t>
      </w:r>
      <w:r>
        <w:br/>
        <w:t xml:space="preserve">    (в ред. Постановления Правительства РФ </w:t>
      </w:r>
      <w:hyperlink r:id="rId9" w:history="1">
        <w:r>
          <w:rPr>
            <w:rStyle w:val="a4"/>
          </w:rPr>
          <w:t>от 08.05.2002 N 302</w:t>
        </w:r>
      </w:hyperlink>
      <w:r>
        <w:t xml:space="preserve">) </w:t>
      </w:r>
      <w:r>
        <w:br/>
        <w:t xml:space="preserve">    9. Сделки, связанные с переходом права собственности на минеральное сырье, а также с использованием его в качестве залога, </w:t>
      </w:r>
      <w:bookmarkStart w:id="29" w:name="l24"/>
      <w:bookmarkEnd w:id="29"/>
      <w:r>
        <w:t xml:space="preserve">оформляются соответствующим договором. </w:t>
      </w:r>
      <w:r>
        <w:br/>
        <w:t xml:space="preserve">    10. В договорах, связанных с переходом права собственности на минеральное сырье, в обязательном порядке отражаются: </w:t>
      </w:r>
      <w:r>
        <w:br/>
        <w:t xml:space="preserve">    наименование минерального сырья; </w:t>
      </w:r>
      <w:r>
        <w:br/>
        <w:t xml:space="preserve">    объемы и сроки (график) поставки; </w:t>
      </w:r>
      <w:bookmarkStart w:id="30" w:name="l25"/>
      <w:bookmarkEnd w:id="30"/>
      <w:r>
        <w:br/>
        <w:t xml:space="preserve">    количество драгоценных металлов; </w:t>
      </w:r>
      <w:r>
        <w:br/>
        <w:t xml:space="preserve">    цена драгоценных металлов и их стоимость по договору; </w:t>
      </w:r>
      <w:r>
        <w:br/>
        <w:t xml:space="preserve">    порядок и условия поставки и оплаты; </w:t>
      </w:r>
      <w:r>
        <w:br/>
        <w:t xml:space="preserve">    условия передачи и приема минерального сырья; </w:t>
      </w:r>
      <w:r>
        <w:br/>
        <w:t xml:space="preserve">    ответственность сторон. </w:t>
      </w:r>
      <w:bookmarkStart w:id="31" w:name="l26"/>
      <w:bookmarkEnd w:id="31"/>
      <w:r>
        <w:br/>
        <w:t xml:space="preserve">    11. Договоры по переходу права собственности на минеральное сырье подлежат учету в Министерстве финансов Российской Федерации и Министерстве экономики Российской Федерации в устанавливаемом ими порядке. </w:t>
      </w:r>
      <w:r>
        <w:br/>
        <w:t xml:space="preserve">    12. Цены на минеральное сырье определяются его собственником </w:t>
      </w:r>
      <w:bookmarkStart w:id="32" w:name="l27"/>
      <w:bookmarkEnd w:id="32"/>
      <w:r>
        <w:t xml:space="preserve">самостоятельно с учетом цен мирового рынка на аффинированные драгоценные металлы. </w:t>
      </w:r>
      <w:r>
        <w:br/>
        <w:t xml:space="preserve">    13. Использование минерального сырья в качестве залога осуществляется в соответствии с законодательством Российской </w:t>
      </w:r>
      <w:bookmarkStart w:id="33" w:name="l28"/>
      <w:bookmarkEnd w:id="33"/>
      <w:r>
        <w:t xml:space="preserve">Федерации. </w:t>
      </w:r>
      <w:r>
        <w:br/>
        <w:t> </w:t>
      </w:r>
    </w:p>
    <w:p w:rsidR="00495427" w:rsidRDefault="00495427" w:rsidP="00495427">
      <w:pPr>
        <w:pStyle w:val="a3"/>
        <w:jc w:val="center"/>
        <w:outlineLvl w:val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IV. Перемещение и хранение минерального сырья </w:t>
      </w:r>
      <w:bookmarkStart w:id="34" w:name="h135"/>
      <w:bookmarkEnd w:id="34"/>
    </w:p>
    <w:p w:rsidR="00495427" w:rsidRDefault="00495427" w:rsidP="00495427">
      <w:pPr>
        <w:pStyle w:val="a3"/>
      </w:pPr>
      <w:r>
        <w:t> </w:t>
      </w:r>
      <w:r>
        <w:br/>
        <w:t xml:space="preserve">    14. Собственник минерального сырья обеспечивает охрану и сохранность драгоценных металлов, содержащихся в этом сырье, на всех стадиях его добычи, переработки и транспортировки в </w:t>
      </w:r>
      <w:bookmarkStart w:id="35" w:name="l29"/>
      <w:bookmarkEnd w:id="35"/>
      <w:r>
        <w:t xml:space="preserve">соответствии с законодательством Российской Федерации. </w:t>
      </w:r>
    </w:p>
    <w:p w:rsidR="00DC1EAB" w:rsidRDefault="00DC1EAB">
      <w:bookmarkStart w:id="36" w:name="_GoBack"/>
      <w:bookmarkEnd w:id="36"/>
    </w:p>
    <w:sectPr w:rsidR="00DC1EAB" w:rsidSect="006A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95427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250F7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427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A4EAE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4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54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erent.ru/1/27242?l2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ferent.ru/1/49153?l0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ferent.ru/1/4633?l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ferent.ru/1/27242?l2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ferent.ru/1/49153?l0" TargetMode="External"/><Relationship Id="rId9" Type="http://schemas.openxmlformats.org/officeDocument/2006/relationships/hyperlink" Target="http://www.referent.ru/1/49153?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2015-02-27T21:11:00Z</dcterms:created>
  <dcterms:modified xsi:type="dcterms:W3CDTF">2015-02-27T21:11:00Z</dcterms:modified>
</cp:coreProperties>
</file>